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B6B" w:rsidRPr="00A31D49" w:rsidRDefault="00F66B6B" w:rsidP="00F66B6B">
      <w:pPr>
        <w:pStyle w:val="1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bookmarkStart w:id="0" w:name="_GoBack"/>
      <w:bookmarkEnd w:id="0"/>
      <w:r w:rsidRPr="00A31D49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F66B6B" w:rsidRPr="00A31D49" w:rsidRDefault="00F66B6B" w:rsidP="00F66B6B">
      <w:pPr>
        <w:ind w:firstLine="567"/>
        <w:jc w:val="center"/>
        <w:rPr>
          <w:rFonts w:ascii="Tahoma" w:hAnsi="Tahoma" w:cs="Tahoma"/>
          <w:b/>
          <w:lang w:eastAsia="ru-RU"/>
        </w:rPr>
      </w:pPr>
      <w:r w:rsidRPr="00A31D49">
        <w:rPr>
          <w:rFonts w:ascii="Tahoma" w:hAnsi="Tahoma" w:cs="Tahoma"/>
        </w:rPr>
        <w:t xml:space="preserve">На </w:t>
      </w:r>
      <w:r w:rsidRPr="0037385D">
        <w:rPr>
          <w:rFonts w:ascii="Tahoma" w:hAnsi="Tahoma" w:cs="Tahoma"/>
        </w:rPr>
        <w:t>выполнение работ по установке</w:t>
      </w:r>
      <w:r>
        <w:rPr>
          <w:rFonts w:ascii="Tahoma" w:hAnsi="Tahoma" w:cs="Tahoma"/>
        </w:rPr>
        <w:t>, замене и</w:t>
      </w:r>
      <w:r w:rsidRPr="0037385D">
        <w:rPr>
          <w:rFonts w:ascii="Tahoma" w:hAnsi="Tahoma" w:cs="Tahoma"/>
        </w:rPr>
        <w:t xml:space="preserve"> наладке интеллектуальных приборов учета и трансформаторов тока на</w:t>
      </w:r>
      <w:r>
        <w:rPr>
          <w:rFonts w:ascii="Tahoma" w:hAnsi="Tahoma" w:cs="Tahoma"/>
        </w:rPr>
        <w:t xml:space="preserve"> северной</w:t>
      </w:r>
      <w:r w:rsidRPr="0037385D">
        <w:rPr>
          <w:rFonts w:ascii="Tahoma" w:hAnsi="Tahoma" w:cs="Tahoma"/>
        </w:rPr>
        <w:t xml:space="preserve"> территории </w:t>
      </w:r>
      <w:r>
        <w:rPr>
          <w:rFonts w:ascii="Tahoma" w:hAnsi="Tahoma" w:cs="Tahoma"/>
        </w:rPr>
        <w:t>Удмуртской Р</w:t>
      </w:r>
      <w:r w:rsidRPr="0037385D">
        <w:rPr>
          <w:rFonts w:ascii="Tahoma" w:hAnsi="Tahoma" w:cs="Tahoma"/>
        </w:rPr>
        <w:t>еспублики</w:t>
      </w:r>
      <w:r w:rsidRPr="00A31D49">
        <w:rPr>
          <w:rFonts w:ascii="Tahoma" w:hAnsi="Tahoma" w:cs="Tahoma"/>
        </w:rPr>
        <w:t xml:space="preserve"> для нужд Удмуртского филиала АО «</w:t>
      </w:r>
      <w:proofErr w:type="spellStart"/>
      <w:r w:rsidRPr="00A31D49">
        <w:rPr>
          <w:rFonts w:ascii="Tahoma" w:hAnsi="Tahoma" w:cs="Tahoma"/>
        </w:rPr>
        <w:t>ЭнергосбыТ</w:t>
      </w:r>
      <w:proofErr w:type="spellEnd"/>
      <w:r w:rsidRPr="00A31D49">
        <w:rPr>
          <w:rFonts w:ascii="Tahoma" w:hAnsi="Tahoma" w:cs="Tahoma"/>
        </w:rPr>
        <w:t xml:space="preserve">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:rsidR="00F66B6B" w:rsidRPr="00A31D49" w:rsidRDefault="00F66B6B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:rsidR="00F66B6B" w:rsidRPr="00A31D49" w:rsidRDefault="00F66B6B" w:rsidP="00B42E81">
            <w:pPr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ПУ ИСУ) и трансформаторов тока (далее ТТ) </w:t>
            </w:r>
            <w:r w:rsidRPr="003931E0">
              <w:rPr>
                <w:rFonts w:ascii="Tahoma" w:hAnsi="Tahoma" w:cs="Tahoma"/>
                <w:sz w:val="20"/>
                <w:szCs w:val="20"/>
              </w:rPr>
              <w:t>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северной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 территории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:rsidR="00F66B6B" w:rsidRPr="00A31D49" w:rsidRDefault="00F66B6B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:rsidR="00F66B6B" w:rsidRPr="00A31D49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северной</w:t>
            </w:r>
            <w:r w:rsidRPr="00D67D32">
              <w:rPr>
                <w:rFonts w:ascii="Tahoma" w:hAnsi="Tahoma" w:cs="Tahoma"/>
                <w:sz w:val="20"/>
                <w:szCs w:val="20"/>
              </w:rPr>
              <w:t xml:space="preserve"> 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Удмуртской Республики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:rsidR="00F66B6B" w:rsidRPr="00A31D49" w:rsidRDefault="00F66B6B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:rsidR="00F66B6B" w:rsidRPr="00A31D49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с учетом общего срока выполнения работ. </w:t>
            </w:r>
          </w:p>
          <w:p w:rsidR="00F66B6B" w:rsidRPr="00A31D49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F66B6B" w:rsidRPr="00A31D49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работ - не позднее </w:t>
            </w:r>
            <w:r>
              <w:rPr>
                <w:rFonts w:ascii="Tahoma" w:hAnsi="Tahoma" w:cs="Tahoma"/>
                <w:sz w:val="20"/>
                <w:szCs w:val="20"/>
              </w:rPr>
              <w:t>5 (пяти) рабочих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>
              <w:rPr>
                <w:rFonts w:ascii="Tahoma" w:hAnsi="Tahoma" w:cs="Tahoma"/>
                <w:sz w:val="20"/>
                <w:szCs w:val="20"/>
              </w:rPr>
              <w:t>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F66B6B" w:rsidRPr="00A31D49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2024 г.</w:t>
            </w:r>
          </w:p>
          <w:p w:rsidR="00F66B6B" w:rsidRPr="00A31D49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:rsidR="00F66B6B" w:rsidRPr="00A31D49" w:rsidRDefault="00F66B6B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 (пломба-наклейка);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</w:t>
            </w: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 xml:space="preserve">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и отправки в течение одного рабочего дня Заказчику скан-копии Акта и фото на электронный адрес Подрядчика по указанному перечню электронных адресов Заказчика. Заказчик вправе заменить такой объект в графике производства работ.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F66B6B" w:rsidRPr="00567D9E" w:rsidRDefault="00F66B6B" w:rsidP="00B42E81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F66B6B" w:rsidRPr="00567D9E" w:rsidRDefault="00F66B6B" w:rsidP="00B42E8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- за определение необходимости замены прибора учета электрической энергии (за определение выхода срока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межповерочного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интервала (Далее - МПИ)</w:t>
            </w:r>
            <w:r w:rsidRPr="00567D9E">
              <w:rPr>
                <w:rFonts w:ascii="Tahoma" w:hAnsi="Tahoma" w:cs="Tahoma"/>
                <w:sz w:val="20"/>
                <w:szCs w:val="20"/>
              </w:rPr>
              <w:t>, выхода срока эксплуатации, выхода ПУ из строя и т.д.)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(при ее наличии)</w:t>
            </w:r>
            <w:r w:rsidRPr="00567D9E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:rsidR="00F66B6B" w:rsidRPr="00A31D49" w:rsidRDefault="00F66B6B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</w:t>
            </w: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>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Заказчик передает Подрядчику с составлением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энергии, ТТ и пломбировочную продукцию необходимые для выполнения Работ. 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поверителя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 Подрядчиком либо Заказчиком в момент приемки работ,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Потребителю. В случае повторного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Подрядчик по факту </w:t>
            </w: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 xml:space="preserve">составления Акта о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567D9E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Pr="00567D9E">
              <w:rPr>
                <w:rFonts w:ascii="Tahoma" w:hAnsi="Tahoma" w:cs="Tahoma"/>
                <w:sz w:val="20"/>
                <w:szCs w:val="20"/>
              </w:rPr>
              <w:t xml:space="preserve"> электронного адреса Подрядчика на перечень электронных адресов Заказчика </w:t>
            </w:r>
            <w:hyperlink r:id="rId5" w:history="1">
              <w:r w:rsidRPr="00125378">
                <w:rPr>
                  <w:rStyle w:val="a4"/>
                  <w:rFonts w:eastAsia="Times New Roman"/>
                  <w:lang w:eastAsia="en-US"/>
                </w:rPr>
                <w:t>mailto:Vadim.Makshakov@esplus.ru</w:t>
              </w:r>
            </w:hyperlink>
            <w:r w:rsidRPr="00567D9E">
              <w:rPr>
                <w:rFonts w:ascii="Tahoma" w:hAnsi="Tahoma" w:cs="Tahoma"/>
                <w:sz w:val="20"/>
                <w:szCs w:val="20"/>
              </w:rPr>
              <w:t>. Заказчик вправе исключить объект или заменить на другой.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в течение одного рабочего дня уведомляет Заказчика посредством отправки скан-копии Акта </w:t>
            </w:r>
            <w:r w:rsidRPr="00567D9E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>
              <w:rPr>
                <w:rFonts w:ascii="Tahoma" w:hAnsi="Tahoma" w:cs="Tahoma"/>
                <w:sz w:val="20"/>
                <w:szCs w:val="20"/>
              </w:rPr>
              <w:t xml:space="preserve"> электронного адреса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Подрядчика</w:t>
            </w:r>
            <w:hyperlink r:id="rId6" w:history="1">
              <w:r w:rsidRPr="00125378">
                <w:rPr>
                  <w:rStyle w:val="a4"/>
                  <w:rFonts w:eastAsia="Times New Roman"/>
                  <w:lang w:eastAsia="en-US"/>
                </w:rPr>
                <w:t>mailto:Vadim.Makshakov@esplus.ru</w:t>
              </w:r>
              <w:proofErr w:type="spellEnd"/>
            </w:hyperlink>
            <w:r w:rsidRPr="00567D9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F66B6B" w:rsidRPr="005D24C2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номинал трансформаторов тока, дату изготовления и поверки прибора учета и трансформатора тока. 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567D9E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Pr="00567D9E">
              <w:rPr>
                <w:rFonts w:ascii="Tahoma" w:hAnsi="Tahoma" w:cs="Tahoma"/>
                <w:sz w:val="20"/>
                <w:szCs w:val="20"/>
              </w:rPr>
              <w:t xml:space="preserve"> электронного адреса Подрядчика на перечен</w:t>
            </w:r>
            <w:r>
              <w:rPr>
                <w:rFonts w:ascii="Tahoma" w:hAnsi="Tahoma" w:cs="Tahoma"/>
                <w:sz w:val="20"/>
                <w:szCs w:val="20"/>
              </w:rPr>
              <w:t xml:space="preserve">ь электронных адресов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Заказчика</w:t>
            </w:r>
            <w:hyperlink r:id="rId7" w:history="1">
              <w:r w:rsidRPr="00125378">
                <w:rPr>
                  <w:rStyle w:val="a4"/>
                  <w:rFonts w:eastAsia="Times New Roman"/>
                  <w:lang w:eastAsia="en-US"/>
                </w:rPr>
                <w:t>mailto:Vadim.Makshakov@esplus.ru</w:t>
              </w:r>
              <w:proofErr w:type="spellEnd"/>
            </w:hyperlink>
            <w:r w:rsidRPr="00567D9E">
              <w:rPr>
                <w:rFonts w:ascii="Tahoma" w:hAnsi="Tahoma" w:cs="Tahoma"/>
                <w:sz w:val="20"/>
                <w:szCs w:val="20"/>
              </w:rPr>
              <w:t xml:space="preserve">, а также направляет материалы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hAnsi="Tahoma" w:cs="Tahoma"/>
                <w:sz w:val="20"/>
                <w:szCs w:val="20"/>
              </w:rPr>
              <w:t>нформацию в монтажной ведомости</w:t>
            </w:r>
            <w:r w:rsidRPr="00567D9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</w:t>
            </w: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>смонтированного оборудования.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</w:t>
            </w:r>
            <w:r>
              <w:rPr>
                <w:rFonts w:ascii="Tahoma" w:hAnsi="Tahoma" w:cs="Tahoma"/>
                <w:sz w:val="20"/>
                <w:szCs w:val="20"/>
              </w:rPr>
              <w:t>ых в модуле Мобильный контролер</w:t>
            </w:r>
            <w:r w:rsidRPr="00567D9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>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</w:t>
            </w: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>предоставлена Подрядчиком Заказчику в течении 2 рабочих дней.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125 установлен» или «г Ижевск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125 снят»). Фото предоставляются Заказчику в составе приемо-сдаточной документации разделенные по каталогам в разрезе дат установок/замен.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567D9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567D9E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Сечение соединительных проводов во вторичных цепях трансформаторов тока расчетного технического учета должны быть не менее 2,5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кв.мм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для меди. Применение алюминиевых проводников запрещается.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клеммная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колодка с возможностью опломбирования).</w:t>
            </w:r>
          </w:p>
          <w:p w:rsidR="00F66B6B" w:rsidRPr="00567D9E" w:rsidRDefault="00F66B6B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Приборы учета устанавливаются:</w:t>
            </w:r>
          </w:p>
          <w:p w:rsidR="00F66B6B" w:rsidRPr="00567D9E" w:rsidRDefault="00F66B6B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в этажных щитах;</w:t>
            </w:r>
          </w:p>
          <w:p w:rsidR="00F66B6B" w:rsidRPr="00567D9E" w:rsidRDefault="00F66B6B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F66B6B" w:rsidRPr="00567D9E" w:rsidRDefault="00F66B6B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в выносных шкафах учёта (боксах);</w:t>
            </w:r>
          </w:p>
          <w:p w:rsidR="00F66B6B" w:rsidRPr="00567D9E" w:rsidRDefault="00F66B6B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hAnsi="Tahoma" w:cs="Tahoma"/>
                <w:sz w:val="20"/>
                <w:szCs w:val="20"/>
              </w:rPr>
              <w:t>ВРУ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закрытых распределительных устройствах (</w:t>
            </w:r>
            <w:r w:rsidRPr="00FD562B">
              <w:rPr>
                <w:rFonts w:ascii="Tahoma" w:hAnsi="Tahoma" w:cs="Tahoma"/>
                <w:sz w:val="20"/>
                <w:szCs w:val="20"/>
              </w:rPr>
              <w:t>ЗРУ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hAnsi="Tahoma" w:cs="Tahoma"/>
                <w:sz w:val="20"/>
                <w:szCs w:val="20"/>
              </w:rPr>
              <w:t>ОРУ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F66B6B" w:rsidRPr="00567D9E" w:rsidRDefault="00F66B6B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 , Подрядчик производит демонтаж ПУ ИСУ и ТТ, с переустановкой на другой объект, указанный в заявке 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567D9E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Pr="00567D9E">
              <w:rPr>
                <w:rFonts w:ascii="Tahoma" w:hAnsi="Tahoma" w:cs="Tahoma"/>
                <w:sz w:val="20"/>
                <w:szCs w:val="20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>
              <w:r w:rsidRPr="00125378">
                <w:rPr>
                  <w:rStyle w:val="a4"/>
                  <w:rFonts w:eastAsia="Times New Roman"/>
                  <w:lang w:eastAsia="en-US"/>
                </w:rPr>
                <w:t>mailto:Vadim.Makshakov@esplus.ru</w:t>
              </w:r>
            </w:hyperlink>
            <w:r w:rsidRPr="00567D9E">
              <w:rPr>
                <w:rFonts w:ascii="Tahoma" w:hAnsi="Tahoma" w:cs="Tahoma"/>
                <w:sz w:val="20"/>
                <w:szCs w:val="20"/>
              </w:rPr>
              <w:t xml:space="preserve"> заполненной за предыдущий день формы монтажной и отчётной ведомости  в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Excel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567D9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67D9E">
              <w:rPr>
                <w:rFonts w:ascii="Tahoma" w:hAnsi="Tahoma" w:cs="Tahoma"/>
                <w:sz w:val="20"/>
                <w:szCs w:val="20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Воровского д 52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2).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</w:t>
            </w: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 xml:space="preserve">через испытательные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клеммные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(оплата услуг по установке шкафа учета входит в стоимость (смету) работ при установке прибора учета вновь)</w:t>
            </w:r>
            <w:r w:rsidRPr="00567D9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F66B6B" w:rsidRPr="00567D9E" w:rsidRDefault="00F66B6B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:rsidR="00F66B6B" w:rsidRPr="00A31D49" w:rsidRDefault="00F66B6B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:rsidR="00F66B6B" w:rsidRPr="00CA57C1" w:rsidRDefault="00F66B6B" w:rsidP="00B42E81">
            <w:pPr>
              <w:widowControl w:val="0"/>
              <w:spacing w:after="120" w:line="240" w:lineRule="auto"/>
              <w:ind w:left="24" w:firstLine="6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7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Республики Удмуртия (Письмо Минстроя России от 07.12.2022 г. №65739-ИФ/09 прил.1, прил.7  4 кв.2022 ).</w:t>
            </w:r>
          </w:p>
          <w:p w:rsidR="00F66B6B" w:rsidRPr="00567D9E" w:rsidRDefault="00F66B6B" w:rsidP="00B42E81">
            <w:pPr>
              <w:widowControl w:val="0"/>
              <w:spacing w:after="120" w:line="240" w:lineRule="auto"/>
              <w:ind w:left="24" w:firstLine="64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:rsidR="00F66B6B" w:rsidRPr="00A31D49" w:rsidRDefault="00F66B6B" w:rsidP="00B42E81">
            <w:pPr>
              <w:rPr>
                <w:rFonts w:ascii="Times New Roman" w:hAnsi="Times New Roman"/>
                <w:sz w:val="24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A31D49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:rsidR="00F66B6B" w:rsidRPr="00A31D49" w:rsidRDefault="00F66B6B" w:rsidP="00B42E8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ЭнергосбыТ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F66B6B" w:rsidRPr="00567D9E" w:rsidRDefault="00F66B6B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>- ГОСТ 7746 - 2015 «Трансформаторы тока. Общие технические условия»;</w:t>
            </w:r>
          </w:p>
          <w:p w:rsidR="00F66B6B" w:rsidRPr="00567D9E" w:rsidRDefault="00F66B6B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F66B6B" w:rsidRPr="00567D9E" w:rsidRDefault="00F66B6B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F66B6B" w:rsidRPr="00567D9E" w:rsidRDefault="00F66B6B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F66B6B" w:rsidRPr="00567D9E" w:rsidRDefault="00F66B6B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F66B6B" w:rsidRPr="00567D9E" w:rsidRDefault="00F66B6B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F66B6B" w:rsidRPr="00567D9E" w:rsidRDefault="00F66B6B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F66B6B" w:rsidRPr="00567D9E" w:rsidRDefault="00F66B6B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F66B6B" w:rsidRPr="00567D9E" w:rsidRDefault="00F66B6B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F66B6B" w:rsidRPr="00567D9E" w:rsidRDefault="00F66B6B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F66B6B" w:rsidRPr="00567D9E" w:rsidRDefault="00F66B6B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567D9E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:rsidR="00F66B6B" w:rsidRPr="00A31D49" w:rsidRDefault="00F66B6B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ПТЭ (действующее издание);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>Требования к безопасности выполняемых работ: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F66B6B" w:rsidRPr="00567D9E" w:rsidRDefault="00F66B6B" w:rsidP="00B42E81">
            <w:pPr>
              <w:tabs>
                <w:tab w:val="left" w:pos="46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:rsidR="00F66B6B" w:rsidRPr="00A31D49" w:rsidRDefault="00F66B6B" w:rsidP="00B42E81">
            <w:pPr>
              <w:rPr>
                <w:rFonts w:eastAsia="Arial Unicode MS"/>
                <w:szCs w:val="20"/>
              </w:rPr>
            </w:pPr>
            <w:r w:rsidRPr="00A31D49">
              <w:rPr>
                <w:rFonts w:eastAsia="Arial Unicode MS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:rsidR="00F66B6B" w:rsidRPr="00567D9E" w:rsidRDefault="00F66B6B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F66B6B" w:rsidRPr="00567D9E" w:rsidRDefault="00F66B6B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604" w:type="dxa"/>
            <w:hideMark/>
          </w:tcPr>
          <w:p w:rsidR="00F66B6B" w:rsidRPr="00A31D49" w:rsidRDefault="00F66B6B" w:rsidP="00B42E81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F66B6B" w:rsidRPr="00567D9E" w:rsidRDefault="00F66B6B" w:rsidP="00B42E81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акты о приемке выполненных работ в течении 10 (десять) рабочих дней </w:t>
            </w: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>после получения от Подрядчика Акта приемки выполненных работ.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F66B6B" w:rsidRPr="00567D9E" w:rsidRDefault="00F66B6B" w:rsidP="00B42E81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567D9E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04" w:type="dxa"/>
          </w:tcPr>
          <w:p w:rsidR="00F66B6B" w:rsidRPr="00A31D49" w:rsidRDefault="00F66B6B" w:rsidP="00B42E81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5796" w:type="dxa"/>
            <w:hideMark/>
          </w:tcPr>
          <w:p w:rsidR="00F66B6B" w:rsidRPr="00567D9E" w:rsidRDefault="00F66B6B" w:rsidP="00B42E8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F66B6B" w:rsidRPr="00567D9E" w:rsidRDefault="00F66B6B" w:rsidP="00F66B6B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67D9E">
              <w:rPr>
                <w:rFonts w:ascii="Tahoma" w:hAnsi="Tahoma" w:cs="Tahoma"/>
                <w:sz w:val="20"/>
                <w:szCs w:val="20"/>
              </w:rPr>
              <w:t xml:space="preserve">кты </w:t>
            </w:r>
            <w:r>
              <w:rPr>
                <w:rFonts w:ascii="Tahoma" w:hAnsi="Tahoma" w:cs="Tahoma"/>
                <w:sz w:val="20"/>
                <w:szCs w:val="20"/>
              </w:rPr>
              <w:t>о приемке</w:t>
            </w:r>
            <w:r w:rsidRPr="00567D9E">
              <w:rPr>
                <w:rFonts w:ascii="Tahoma" w:hAnsi="Tahoma" w:cs="Tahoma"/>
                <w:sz w:val="20"/>
                <w:szCs w:val="20"/>
              </w:rPr>
              <w:t xml:space="preserve"> выполненных Работ (форма №КС-2);</w:t>
            </w:r>
          </w:p>
          <w:p w:rsidR="00F66B6B" w:rsidRPr="00567D9E" w:rsidRDefault="00F66B6B" w:rsidP="00F66B6B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567D9E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567D9E">
              <w:rPr>
                <w:rFonts w:ascii="Tahoma" w:hAnsi="Tahoma" w:cs="Tahoma"/>
                <w:sz w:val="20"/>
                <w:szCs w:val="20"/>
              </w:rPr>
              <w:t xml:space="preserve">, а также материалы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F66B6B" w:rsidRPr="00567D9E" w:rsidRDefault="00F66B6B" w:rsidP="00F66B6B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F66B6B" w:rsidRPr="00567D9E" w:rsidRDefault="00F66B6B" w:rsidP="00F66B6B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F66B6B" w:rsidRPr="00567D9E" w:rsidRDefault="00F66B6B" w:rsidP="00F66B6B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F66B6B" w:rsidRDefault="00F66B6B" w:rsidP="00F66B6B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электроэнергии;</w:t>
            </w:r>
          </w:p>
          <w:p w:rsidR="00F66B6B" w:rsidRDefault="00F66B6B" w:rsidP="00F66B6B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в </w:t>
            </w:r>
            <w:r>
              <w:rPr>
                <w:rFonts w:ascii="Tahoma" w:hAnsi="Tahoma" w:cs="Tahoma"/>
                <w:sz w:val="20"/>
                <w:szCs w:val="20"/>
              </w:rPr>
              <w:t>жилое и (или) нежилое помещение</w:t>
            </w:r>
            <w:r w:rsidRPr="00567D9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F66B6B" w:rsidRDefault="00F66B6B" w:rsidP="00F66B6B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учета;</w:t>
            </w:r>
          </w:p>
          <w:p w:rsidR="00F66B6B" w:rsidRPr="00567D9E" w:rsidRDefault="00F66B6B" w:rsidP="00F66B6B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Акт осмотра прибора учета электрической энергии.</w:t>
            </w:r>
          </w:p>
          <w:p w:rsidR="00F66B6B" w:rsidRDefault="00F66B6B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F66B6B" w:rsidRPr="00567D9E" w:rsidRDefault="00F66B6B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F66B6B" w:rsidRPr="00567D9E" w:rsidRDefault="00F66B6B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F66B6B" w:rsidRPr="00567D9E" w:rsidRDefault="00F66B6B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lastRenderedPageBreak/>
              <w:t>- документы, удостоверяющие качество использованных Подрядчиком материалов и оборудования;</w:t>
            </w:r>
          </w:p>
          <w:p w:rsidR="00F66B6B" w:rsidRPr="00567D9E" w:rsidRDefault="00F66B6B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F66B6B" w:rsidRPr="00567D9E" w:rsidRDefault="00F66B6B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- реестр актов о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F66B6B" w:rsidRPr="00567D9E" w:rsidRDefault="00F66B6B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- реестр актов отсутствия тех. возможности, а также документы и материалы </w:t>
            </w:r>
            <w:proofErr w:type="spellStart"/>
            <w:r w:rsidRPr="00567D9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567D9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F66B6B" w:rsidRPr="00567D9E" w:rsidRDefault="00F66B6B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- реестр актов приема-передачи демонтированного оборудования потребителям;</w:t>
            </w:r>
          </w:p>
          <w:p w:rsidR="00F66B6B" w:rsidRPr="00567D9E" w:rsidRDefault="00F66B6B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 xml:space="preserve">- скан-копии Актов ввода в эксплуатацию (осмотра) приборов учета электроэнергии в формате </w:t>
            </w:r>
            <w:r w:rsidRPr="00567D9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67D9E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:rsidR="00F66B6B" w:rsidRPr="00A31D49" w:rsidRDefault="00F66B6B" w:rsidP="00B42E81">
            <w:pPr>
              <w:rPr>
                <w:rFonts w:eastAsia="Times New Roman" w:cs="Tahoma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:rsidR="00F66B6B" w:rsidRPr="00567D9E" w:rsidRDefault="00F66B6B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567D9E">
              <w:rPr>
                <w:rFonts w:ascii="Tahoma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F66B6B" w:rsidRPr="00567D9E" w:rsidRDefault="00F66B6B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567D9E">
              <w:rPr>
                <w:rFonts w:ascii="Tahoma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F66B6B" w:rsidRPr="00567D9E" w:rsidRDefault="00F66B6B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567D9E">
              <w:rPr>
                <w:rFonts w:ascii="Tahoma" w:hAnsi="Tahoma" w:cs="Tahoma"/>
                <w:sz w:val="20"/>
              </w:rPr>
              <w:t>При выявлении дефекта Подрядчик обязан:</w:t>
            </w:r>
          </w:p>
          <w:p w:rsidR="00F66B6B" w:rsidRPr="00567D9E" w:rsidRDefault="00F66B6B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567D9E">
              <w:rPr>
                <w:rFonts w:ascii="Tahoma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F66B6B" w:rsidRPr="00567D9E" w:rsidRDefault="00F66B6B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567D9E">
              <w:rPr>
                <w:rFonts w:ascii="Tahoma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F66B6B" w:rsidRPr="00567D9E" w:rsidRDefault="00F66B6B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567D9E">
              <w:rPr>
                <w:rFonts w:ascii="Tahoma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F66B6B" w:rsidRPr="00A31D49" w:rsidTr="00B42E81">
        <w:tc>
          <w:tcPr>
            <w:tcW w:w="518" w:type="dxa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04" w:type="dxa"/>
            <w:hideMark/>
          </w:tcPr>
          <w:p w:rsidR="00F66B6B" w:rsidRPr="00A31D49" w:rsidRDefault="00F66B6B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:rsidR="00F66B6B" w:rsidRPr="00567D9E" w:rsidRDefault="00F66B6B" w:rsidP="00B42E81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1. График производства работ;</w:t>
            </w:r>
          </w:p>
          <w:p w:rsidR="00F66B6B" w:rsidRPr="00567D9E" w:rsidRDefault="00F66B6B" w:rsidP="00B42E81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2. Ведомость объемов работ;</w:t>
            </w:r>
          </w:p>
          <w:p w:rsidR="00F66B6B" w:rsidRPr="00567D9E" w:rsidRDefault="00F66B6B" w:rsidP="00B42E81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:rsidR="00F66B6B" w:rsidRPr="00567D9E" w:rsidRDefault="00F66B6B" w:rsidP="00B42E81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567D9E">
              <w:rPr>
                <w:rFonts w:ascii="Tahoma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F66B6B" w:rsidRPr="00A31D49" w:rsidRDefault="00F66B6B" w:rsidP="00F66B6B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t>Приложение №1</w:t>
      </w:r>
    </w:p>
    <w:p w:rsidR="00F66B6B" w:rsidRPr="00A31D49" w:rsidRDefault="00F66B6B" w:rsidP="00F66B6B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hAnsi="Arial" w:cs="Arial"/>
          <w:b/>
          <w:bCs/>
          <w:sz w:val="24"/>
          <w:szCs w:val="24"/>
        </w:rPr>
      </w:pPr>
      <w:r w:rsidRPr="00A31D49">
        <w:rPr>
          <w:rFonts w:ascii="Arial" w:hAnsi="Arial" w:cs="Arial"/>
          <w:b/>
          <w:bCs/>
          <w:sz w:val="24"/>
          <w:szCs w:val="24"/>
        </w:rPr>
        <w:t>График производства работ</w:t>
      </w:r>
    </w:p>
    <w:p w:rsidR="00F66B6B" w:rsidRPr="00A31D49" w:rsidRDefault="00F66B6B" w:rsidP="00F66B6B"/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693"/>
        <w:gridCol w:w="1842"/>
        <w:gridCol w:w="1276"/>
        <w:gridCol w:w="1168"/>
      </w:tblGrid>
      <w:tr w:rsidR="00F66B6B" w:rsidRPr="00A31D49" w:rsidTr="00B42E8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ind w:left="98" w:hanging="9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Кол-во,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</w:p>
        </w:tc>
      </w:tr>
      <w:tr w:rsidR="00F66B6B" w:rsidRPr="00A31D49" w:rsidTr="00B42E8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 с учетом 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F66B6B" w:rsidRPr="00A31D49" w:rsidRDefault="00F66B6B" w:rsidP="00B42E81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>
              <w:rPr>
                <w:rFonts w:ascii="Tahoma" w:hAnsi="Tahoma" w:cs="Tahoma"/>
                <w:sz w:val="16"/>
                <w:szCs w:val="16"/>
              </w:rPr>
              <w:t>не позднее 5 (пяти) рабочих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 дн</w:t>
            </w:r>
            <w:r>
              <w:rPr>
                <w:rFonts w:ascii="Tahoma" w:hAnsi="Tahoma" w:cs="Tahoma"/>
                <w:sz w:val="16"/>
                <w:szCs w:val="16"/>
              </w:rPr>
              <w:t>ей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 с момента заключения Сторонами Договора.</w:t>
            </w:r>
          </w:p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окончание </w:t>
            </w:r>
            <w:r w:rsidRPr="00A31D49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A31D49">
              <w:rPr>
                <w:rFonts w:ascii="Tahoma" w:hAnsi="Tahoma" w:cs="Tahoma"/>
                <w:sz w:val="16"/>
                <w:szCs w:val="16"/>
              </w:rPr>
              <w:t>работ – не позднее «</w:t>
            </w: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hAnsi="Tahoma" w:cs="Tahoma"/>
                <w:sz w:val="16"/>
                <w:szCs w:val="16"/>
              </w:rPr>
              <w:t>декабря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2024 г.</w:t>
            </w:r>
          </w:p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Многоквартирные дома</w:t>
            </w:r>
            <w:r w:rsidRPr="00636BDE">
              <w:rPr>
                <w:rFonts w:ascii="Tahoma" w:hAnsi="Tahoma" w:cs="Tahoma"/>
                <w:sz w:val="16"/>
                <w:szCs w:val="16"/>
              </w:rPr>
              <w:t xml:space="preserve"> на </w:t>
            </w:r>
            <w:r>
              <w:rPr>
                <w:rFonts w:ascii="Tahoma" w:hAnsi="Tahoma" w:cs="Tahoma"/>
                <w:sz w:val="16"/>
                <w:szCs w:val="16"/>
              </w:rPr>
              <w:t xml:space="preserve">Северной </w:t>
            </w:r>
            <w:r w:rsidRPr="00636BDE">
              <w:rPr>
                <w:rFonts w:ascii="Tahoma" w:hAnsi="Tahoma" w:cs="Tahoma"/>
                <w:sz w:val="16"/>
                <w:szCs w:val="16"/>
              </w:rPr>
              <w:t xml:space="preserve">территории </w:t>
            </w:r>
            <w:r>
              <w:rPr>
                <w:rFonts w:ascii="Tahoma" w:hAnsi="Tahoma" w:cs="Tahoma"/>
                <w:sz w:val="16"/>
                <w:szCs w:val="16"/>
              </w:rPr>
              <w:t>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2222</w:t>
            </w:r>
          </w:p>
        </w:tc>
      </w:tr>
      <w:tr w:rsidR="00F66B6B" w:rsidRPr="00A31D49" w:rsidTr="00B42E81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</w:tr>
      <w:tr w:rsidR="00F66B6B" w:rsidRPr="00A31D49" w:rsidTr="00B42E8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noWrap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Замена трехфазного ПУ ИСУ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полукосвенного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94</w:t>
            </w:r>
          </w:p>
        </w:tc>
      </w:tr>
      <w:tr w:rsidR="00F66B6B" w:rsidRPr="00A31D49" w:rsidTr="00B42E8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</w:t>
            </w:r>
          </w:p>
        </w:tc>
      </w:tr>
    </w:tbl>
    <w:p w:rsidR="00F66B6B" w:rsidRPr="00A31D49" w:rsidRDefault="00F66B6B" w:rsidP="00F66B6B"/>
    <w:p w:rsidR="00F66B6B" w:rsidRPr="00A31D49" w:rsidRDefault="00F66B6B" w:rsidP="00F66B6B">
      <w:pPr>
        <w:rPr>
          <w:lang w:val="en-US"/>
        </w:rPr>
      </w:pPr>
    </w:p>
    <w:p w:rsidR="00F66B6B" w:rsidRPr="00A31D49" w:rsidRDefault="00F66B6B" w:rsidP="00F66B6B"/>
    <w:p w:rsidR="00F66B6B" w:rsidRPr="00A31D49" w:rsidRDefault="00F66B6B" w:rsidP="00F66B6B"/>
    <w:p w:rsidR="00F66B6B" w:rsidRPr="00A31D49" w:rsidRDefault="00F66B6B" w:rsidP="00F66B6B"/>
    <w:p w:rsidR="00F66B6B" w:rsidRPr="00A31D49" w:rsidRDefault="00F66B6B" w:rsidP="00F66B6B"/>
    <w:p w:rsidR="00F66B6B" w:rsidRPr="00A31D49" w:rsidRDefault="00F66B6B" w:rsidP="00F66B6B"/>
    <w:p w:rsidR="00F66B6B" w:rsidRDefault="00F66B6B" w:rsidP="00F66B6B"/>
    <w:p w:rsidR="00F66B6B" w:rsidRDefault="00F66B6B" w:rsidP="00F66B6B"/>
    <w:p w:rsidR="00F66B6B" w:rsidRDefault="00F66B6B" w:rsidP="00F66B6B"/>
    <w:p w:rsidR="00F66B6B" w:rsidRDefault="00F66B6B" w:rsidP="00F66B6B"/>
    <w:p w:rsidR="00F66B6B" w:rsidRPr="00A31D49" w:rsidRDefault="00F66B6B" w:rsidP="00F66B6B"/>
    <w:p w:rsidR="00F66B6B" w:rsidRPr="00A31D49" w:rsidRDefault="00F66B6B" w:rsidP="00F66B6B"/>
    <w:p w:rsidR="00F66B6B" w:rsidRPr="00A31D49" w:rsidRDefault="00F66B6B" w:rsidP="00F66B6B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t>Приложение №2</w:t>
      </w:r>
    </w:p>
    <w:p w:rsidR="00F66B6B" w:rsidRPr="00A31D49" w:rsidRDefault="00F66B6B" w:rsidP="00F66B6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hAnsi="Tahoma" w:cs="Tahoma"/>
          <w:sz w:val="18"/>
          <w:szCs w:val="18"/>
          <w:lang w:eastAsia="ru-RU"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F66B6B" w:rsidRPr="00A31D49" w:rsidTr="00B42E81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A31D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F66B6B" w:rsidRPr="00A31D49" w:rsidTr="00B42E81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6B6B" w:rsidRPr="00A31D49" w:rsidRDefault="00F66B6B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6B6B" w:rsidRPr="00A31D49" w:rsidRDefault="00F66B6B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6B6B" w:rsidRPr="00A31D49" w:rsidRDefault="00F66B6B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6B6B" w:rsidRPr="00A31D49" w:rsidRDefault="00F66B6B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6B6B" w:rsidRPr="00A31D49" w:rsidRDefault="00F66B6B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66B6B" w:rsidRPr="00A31D49" w:rsidRDefault="00F66B6B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</w:tr>
      <w:tr w:rsidR="00F66B6B" w:rsidRPr="00A31D49" w:rsidTr="00B42E81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F66B6B" w:rsidRPr="00A31D49" w:rsidTr="00B42E81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F66B6B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F66B6B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Смена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21,11</w:t>
            </w:r>
          </w:p>
        </w:tc>
      </w:tr>
      <w:tr w:rsidR="00F66B6B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1,11</w:t>
            </w:r>
          </w:p>
        </w:tc>
      </w:tr>
      <w:tr w:rsidR="00F66B6B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2222</w:t>
            </w:r>
          </w:p>
        </w:tc>
      </w:tr>
      <w:tr w:rsidR="00F66B6B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A31D49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F66B6B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Смена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0,98</w:t>
            </w:r>
          </w:p>
        </w:tc>
      </w:tr>
      <w:tr w:rsidR="00F66B6B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0,42</w:t>
            </w:r>
          </w:p>
        </w:tc>
      </w:tr>
      <w:tr w:rsidR="00F66B6B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</w:tr>
      <w:tr w:rsidR="00F66B6B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  <w:proofErr w:type="spellStart"/>
            <w:r w:rsidRPr="00A31D49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A31D49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 xml:space="preserve"> включения</w:t>
            </w:r>
          </w:p>
        </w:tc>
      </w:tr>
      <w:tr w:rsidR="00F66B6B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Смена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0,66</w:t>
            </w:r>
          </w:p>
        </w:tc>
      </w:tr>
      <w:tr w:rsidR="00F66B6B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0,28</w:t>
            </w:r>
          </w:p>
        </w:tc>
      </w:tr>
      <w:tr w:rsidR="00F66B6B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94</w:t>
            </w:r>
          </w:p>
        </w:tc>
      </w:tr>
      <w:tr w:rsidR="00F66B6B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ru-RU"/>
              </w:rPr>
            </w:pPr>
          </w:p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  <w:p w:rsidR="00F66B6B" w:rsidRPr="00A31D49" w:rsidRDefault="00F66B6B" w:rsidP="00B42E81">
            <w:pPr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66B6B" w:rsidRPr="00A31D49" w:rsidTr="00B42E81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 т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198</w:t>
            </w:r>
          </w:p>
        </w:tc>
      </w:tr>
      <w:tr w:rsidR="00F66B6B" w:rsidRPr="00A31D49" w:rsidTr="00B42E81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Default="00F66B6B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 т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</w:tr>
    </w:tbl>
    <w:p w:rsidR="00F66B6B" w:rsidRPr="00A31D49" w:rsidRDefault="00F66B6B" w:rsidP="00F66B6B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t>Приложение №3</w:t>
      </w:r>
    </w:p>
    <w:p w:rsidR="00F66B6B" w:rsidRDefault="00F66B6B" w:rsidP="00F66B6B"/>
    <w:p w:rsidR="00F66B6B" w:rsidRDefault="00F66B6B" w:rsidP="00F66B6B"/>
    <w:p w:rsidR="00F66B6B" w:rsidRPr="00A31D49" w:rsidRDefault="00F66B6B" w:rsidP="00F66B6B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A31D49">
        <w:rPr>
          <w:rFonts w:ascii="Tahoma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F66B6B" w:rsidRPr="00A31D49" w:rsidTr="00B42E81">
        <w:trPr>
          <w:jc w:val="center"/>
        </w:trPr>
        <w:tc>
          <w:tcPr>
            <w:tcW w:w="755" w:type="dxa"/>
            <w:vAlign w:val="center"/>
          </w:tcPr>
          <w:p w:rsidR="00F66B6B" w:rsidRPr="00A31D49" w:rsidRDefault="00F66B6B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F66B6B" w:rsidRPr="00A31D49" w:rsidRDefault="00F66B6B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F66B6B" w:rsidRPr="00A31D49" w:rsidRDefault="00F66B6B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F66B6B" w:rsidRPr="00A31D49" w:rsidRDefault="00F66B6B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F66B6B" w:rsidRPr="00A31D49" w:rsidRDefault="00F66B6B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F66B6B" w:rsidRPr="00A31D49" w:rsidRDefault="00F66B6B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F66B6B" w:rsidRPr="00A31D49" w:rsidTr="00B42E81">
        <w:trPr>
          <w:trHeight w:val="567"/>
          <w:jc w:val="center"/>
        </w:trPr>
        <w:tc>
          <w:tcPr>
            <w:tcW w:w="755" w:type="dxa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Одно</w:t>
            </w:r>
            <w:r w:rsidRPr="00A31D49">
              <w:rPr>
                <w:rFonts w:ascii="Tahoma" w:hAnsi="Tahoma" w:cs="Tahoma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2222</w:t>
            </w:r>
          </w:p>
        </w:tc>
        <w:tc>
          <w:tcPr>
            <w:tcW w:w="1579" w:type="dxa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F66B6B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Pr="00A31D49">
              <w:rPr>
                <w:rFonts w:ascii="Tahoma" w:hAnsi="Tahoma" w:cs="Tahoma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  <w:tc>
          <w:tcPr>
            <w:tcW w:w="1579" w:type="dxa"/>
            <w:shd w:val="clear" w:color="auto" w:fill="FFFFFF" w:themeFill="background1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F66B6B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Pr="00A31D49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94</w:t>
            </w:r>
          </w:p>
        </w:tc>
        <w:tc>
          <w:tcPr>
            <w:tcW w:w="1579" w:type="dxa"/>
            <w:shd w:val="clear" w:color="auto" w:fill="FFFFFF" w:themeFill="background1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F66B6B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282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F66B6B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4700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F66B6B" w:rsidRPr="00A31D49" w:rsidTr="00B42E81">
        <w:tblPrEx>
          <w:jc w:val="left"/>
        </w:tblPrEx>
        <w:trPr>
          <w:trHeight w:val="567"/>
        </w:trPr>
        <w:tc>
          <w:tcPr>
            <w:tcW w:w="755" w:type="dxa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81" w:type="dxa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</w:tcPr>
          <w:p w:rsidR="00F66B6B" w:rsidRPr="00A31D49" w:rsidRDefault="00F66B6B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</w:tbl>
    <w:p w:rsidR="00F66B6B" w:rsidRPr="00A31D49" w:rsidRDefault="00F66B6B" w:rsidP="00F66B6B">
      <w:pPr>
        <w:jc w:val="center"/>
      </w:pPr>
    </w:p>
    <w:p w:rsidR="00F66B6B" w:rsidRPr="00A31D49" w:rsidRDefault="00F66B6B" w:rsidP="00F66B6B">
      <w:pPr>
        <w:jc w:val="center"/>
      </w:pPr>
    </w:p>
    <w:p w:rsidR="00F66B6B" w:rsidRPr="00A31D49" w:rsidRDefault="00F66B6B" w:rsidP="00F66B6B">
      <w:pPr>
        <w:jc w:val="center"/>
      </w:pPr>
    </w:p>
    <w:p w:rsidR="00F66B6B" w:rsidRPr="00A31D49" w:rsidRDefault="00F66B6B" w:rsidP="00F66B6B">
      <w:pPr>
        <w:jc w:val="center"/>
      </w:pPr>
    </w:p>
    <w:p w:rsidR="00F66B6B" w:rsidRPr="00A31D49" w:rsidRDefault="00F66B6B" w:rsidP="00F66B6B">
      <w:pPr>
        <w:jc w:val="center"/>
      </w:pPr>
    </w:p>
    <w:p w:rsidR="00F66B6B" w:rsidRPr="00A31D49" w:rsidRDefault="00F66B6B" w:rsidP="00F66B6B">
      <w:pPr>
        <w:jc w:val="center"/>
      </w:pPr>
    </w:p>
    <w:p w:rsidR="00F66B6B" w:rsidRPr="00A31D49" w:rsidRDefault="00F66B6B" w:rsidP="00F66B6B">
      <w:pPr>
        <w:jc w:val="center"/>
      </w:pPr>
    </w:p>
    <w:p w:rsidR="00F66B6B" w:rsidRPr="00A31D49" w:rsidRDefault="00F66B6B" w:rsidP="00F66B6B">
      <w:pPr>
        <w:jc w:val="center"/>
      </w:pPr>
    </w:p>
    <w:p w:rsidR="00F66B6B" w:rsidRPr="00A31D49" w:rsidRDefault="00F66B6B" w:rsidP="00F66B6B">
      <w:pPr>
        <w:jc w:val="center"/>
      </w:pPr>
    </w:p>
    <w:p w:rsidR="00F66B6B" w:rsidRDefault="00F66B6B" w:rsidP="00F66B6B">
      <w:pPr>
        <w:rPr>
          <w:rFonts w:ascii="Tahoma" w:hAnsi="Tahoma" w:cs="Tahoma"/>
          <w:b/>
          <w:i/>
          <w:sz w:val="20"/>
          <w:szCs w:val="20"/>
        </w:rPr>
      </w:pPr>
    </w:p>
    <w:p w:rsidR="00F66B6B" w:rsidRPr="00A31D49" w:rsidRDefault="00F66B6B" w:rsidP="00F66B6B">
      <w:pPr>
        <w:rPr>
          <w:rFonts w:ascii="Tahoma" w:hAnsi="Tahoma" w:cs="Tahoma"/>
          <w:b/>
          <w:i/>
          <w:sz w:val="20"/>
          <w:szCs w:val="20"/>
        </w:rPr>
      </w:pPr>
    </w:p>
    <w:p w:rsidR="00F66B6B" w:rsidRPr="00A31D49" w:rsidRDefault="00F66B6B" w:rsidP="00F66B6B">
      <w:pPr>
        <w:rPr>
          <w:rFonts w:ascii="Tahoma" w:hAnsi="Tahoma" w:cs="Tahoma"/>
          <w:b/>
          <w:i/>
          <w:sz w:val="20"/>
          <w:szCs w:val="20"/>
        </w:rPr>
      </w:pPr>
    </w:p>
    <w:p w:rsidR="00F66B6B" w:rsidRPr="00A31D49" w:rsidRDefault="00F66B6B" w:rsidP="00F66B6B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t>Приложение №4</w:t>
      </w:r>
    </w:p>
    <w:p w:rsidR="00F66B6B" w:rsidRPr="00A31D49" w:rsidRDefault="00F66B6B" w:rsidP="00F66B6B">
      <w:pPr>
        <w:jc w:val="center"/>
      </w:pPr>
    </w:p>
    <w:p w:rsidR="00F66B6B" w:rsidRPr="00A31D49" w:rsidRDefault="00F66B6B" w:rsidP="00F66B6B">
      <w:pPr>
        <w:jc w:val="center"/>
        <w:rPr>
          <w:rFonts w:ascii="Tahoma" w:hAnsi="Tahoma" w:cs="Tahoma"/>
          <w:b/>
          <w:i/>
          <w:sz w:val="20"/>
          <w:szCs w:val="20"/>
        </w:rPr>
      </w:pPr>
      <w:r w:rsidRPr="00A31D49">
        <w:rPr>
          <w:rFonts w:ascii="Tahoma" w:hAnsi="Tahoma" w:cs="Tahoma"/>
          <w:b/>
          <w:i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F66B6B" w:rsidRPr="00A31D49" w:rsidRDefault="00F66B6B" w:rsidP="00F66B6B">
      <w:pPr>
        <w:jc w:val="center"/>
        <w:rPr>
          <w:rFonts w:ascii="Tahoma" w:hAnsi="Tahoma" w:cs="Tahoma"/>
          <w:b/>
          <w:i/>
          <w:sz w:val="20"/>
          <w:szCs w:val="20"/>
        </w:rPr>
      </w:pPr>
    </w:p>
    <w:p w:rsidR="00F66B6B" w:rsidRPr="00A31D49" w:rsidRDefault="00F66B6B" w:rsidP="00F66B6B">
      <w:pPr>
        <w:rPr>
          <w:rFonts w:ascii="Tahoma" w:hAnsi="Tahoma" w:cs="Tahoma"/>
          <w:b/>
          <w:i/>
          <w:sz w:val="20"/>
          <w:szCs w:val="20"/>
        </w:rPr>
      </w:pPr>
      <w:r w:rsidRPr="00C67988">
        <w:rPr>
          <w:noProof/>
          <w:lang w:eastAsia="ru-RU"/>
        </w:rPr>
        <w:drawing>
          <wp:inline distT="0" distB="0" distL="0" distR="0">
            <wp:extent cx="5909310" cy="6073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310" cy="607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B6B" w:rsidRDefault="00F66B6B" w:rsidP="00F66B6B"/>
    <w:p w:rsidR="009F0D52" w:rsidRPr="00F66B6B" w:rsidRDefault="009F0D52" w:rsidP="00F66B6B"/>
    <w:sectPr w:rsidR="009F0D52" w:rsidRPr="00F66B6B" w:rsidSect="00125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AD"/>
    <w:rsid w:val="00001CA7"/>
    <w:rsid w:val="00011325"/>
    <w:rsid w:val="00035E1F"/>
    <w:rsid w:val="00044572"/>
    <w:rsid w:val="00060C38"/>
    <w:rsid w:val="000827A8"/>
    <w:rsid w:val="000B1AC7"/>
    <w:rsid w:val="000D2B44"/>
    <w:rsid w:val="000E5022"/>
    <w:rsid w:val="00111E0F"/>
    <w:rsid w:val="0012743C"/>
    <w:rsid w:val="00136F2A"/>
    <w:rsid w:val="00143D00"/>
    <w:rsid w:val="00144ABB"/>
    <w:rsid w:val="00156EC0"/>
    <w:rsid w:val="00173D53"/>
    <w:rsid w:val="001954F5"/>
    <w:rsid w:val="001969E7"/>
    <w:rsid w:val="001973E1"/>
    <w:rsid w:val="001C55AB"/>
    <w:rsid w:val="001E2090"/>
    <w:rsid w:val="001E4765"/>
    <w:rsid w:val="001F5083"/>
    <w:rsid w:val="00230E69"/>
    <w:rsid w:val="00235D09"/>
    <w:rsid w:val="002509B2"/>
    <w:rsid w:val="00272BEE"/>
    <w:rsid w:val="00276381"/>
    <w:rsid w:val="002827D6"/>
    <w:rsid w:val="00285593"/>
    <w:rsid w:val="0028637B"/>
    <w:rsid w:val="00293677"/>
    <w:rsid w:val="0029447B"/>
    <w:rsid w:val="0029680F"/>
    <w:rsid w:val="002A476F"/>
    <w:rsid w:val="002A7ABE"/>
    <w:rsid w:val="002F77BB"/>
    <w:rsid w:val="00305567"/>
    <w:rsid w:val="00347E89"/>
    <w:rsid w:val="00353AED"/>
    <w:rsid w:val="00356B94"/>
    <w:rsid w:val="00366382"/>
    <w:rsid w:val="003840B7"/>
    <w:rsid w:val="00394140"/>
    <w:rsid w:val="003944BF"/>
    <w:rsid w:val="003C1958"/>
    <w:rsid w:val="003D1E70"/>
    <w:rsid w:val="003E3C38"/>
    <w:rsid w:val="003F1B2D"/>
    <w:rsid w:val="003F1E39"/>
    <w:rsid w:val="0040489D"/>
    <w:rsid w:val="0040552B"/>
    <w:rsid w:val="00405984"/>
    <w:rsid w:val="0040664E"/>
    <w:rsid w:val="00422B02"/>
    <w:rsid w:val="00426581"/>
    <w:rsid w:val="00436C7B"/>
    <w:rsid w:val="00461C4C"/>
    <w:rsid w:val="004666F1"/>
    <w:rsid w:val="00486AFB"/>
    <w:rsid w:val="004C4990"/>
    <w:rsid w:val="004D53B7"/>
    <w:rsid w:val="004F110E"/>
    <w:rsid w:val="00506307"/>
    <w:rsid w:val="00511F2F"/>
    <w:rsid w:val="00527242"/>
    <w:rsid w:val="00535FB8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E24A3"/>
    <w:rsid w:val="006F2874"/>
    <w:rsid w:val="00707642"/>
    <w:rsid w:val="00711B6A"/>
    <w:rsid w:val="00725FC2"/>
    <w:rsid w:val="00742B46"/>
    <w:rsid w:val="00752072"/>
    <w:rsid w:val="0076005B"/>
    <w:rsid w:val="007710AE"/>
    <w:rsid w:val="00774AB2"/>
    <w:rsid w:val="00780F83"/>
    <w:rsid w:val="007859BB"/>
    <w:rsid w:val="00795730"/>
    <w:rsid w:val="0079630F"/>
    <w:rsid w:val="00797EBF"/>
    <w:rsid w:val="007A3588"/>
    <w:rsid w:val="007B3888"/>
    <w:rsid w:val="007C08D8"/>
    <w:rsid w:val="007D7295"/>
    <w:rsid w:val="007D7383"/>
    <w:rsid w:val="007E5D19"/>
    <w:rsid w:val="007F72F9"/>
    <w:rsid w:val="00801576"/>
    <w:rsid w:val="00802D9F"/>
    <w:rsid w:val="00805678"/>
    <w:rsid w:val="00806A8E"/>
    <w:rsid w:val="008205E1"/>
    <w:rsid w:val="0083093A"/>
    <w:rsid w:val="00832558"/>
    <w:rsid w:val="008375DF"/>
    <w:rsid w:val="00842210"/>
    <w:rsid w:val="0085620B"/>
    <w:rsid w:val="008566F5"/>
    <w:rsid w:val="00872233"/>
    <w:rsid w:val="00885FAB"/>
    <w:rsid w:val="008B2695"/>
    <w:rsid w:val="008B27DB"/>
    <w:rsid w:val="008C27C3"/>
    <w:rsid w:val="008C79D3"/>
    <w:rsid w:val="008D1598"/>
    <w:rsid w:val="008E1569"/>
    <w:rsid w:val="008F23DA"/>
    <w:rsid w:val="008F354B"/>
    <w:rsid w:val="00903090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0D1D"/>
    <w:rsid w:val="00B32AB9"/>
    <w:rsid w:val="00B47F0B"/>
    <w:rsid w:val="00B71686"/>
    <w:rsid w:val="00B742D1"/>
    <w:rsid w:val="00BB687E"/>
    <w:rsid w:val="00BD4D6E"/>
    <w:rsid w:val="00BF7FD9"/>
    <w:rsid w:val="00C154DF"/>
    <w:rsid w:val="00C44E6D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51FC5"/>
    <w:rsid w:val="00D75D67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5573"/>
    <w:rsid w:val="00E6205C"/>
    <w:rsid w:val="00E908A0"/>
    <w:rsid w:val="00EA7499"/>
    <w:rsid w:val="00EC1F8A"/>
    <w:rsid w:val="00ED1C11"/>
    <w:rsid w:val="00EF691E"/>
    <w:rsid w:val="00F042AD"/>
    <w:rsid w:val="00F13D00"/>
    <w:rsid w:val="00F23207"/>
    <w:rsid w:val="00F255CA"/>
    <w:rsid w:val="00F3252A"/>
    <w:rsid w:val="00F3326E"/>
    <w:rsid w:val="00F515FC"/>
    <w:rsid w:val="00F53999"/>
    <w:rsid w:val="00F556EB"/>
    <w:rsid w:val="00F61DE0"/>
    <w:rsid w:val="00F62D5B"/>
    <w:rsid w:val="00F66B6B"/>
    <w:rsid w:val="00F746DF"/>
    <w:rsid w:val="00F917C5"/>
    <w:rsid w:val="00FC38DB"/>
    <w:rsid w:val="00FC3BFC"/>
    <w:rsid w:val="00FC3EC2"/>
    <w:rsid w:val="00FC470D"/>
    <w:rsid w:val="00FC7BDA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5AC11-700C-4D83-885C-7DE73E65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09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03090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90309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3090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9030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903090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9030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90309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4E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18</Pages>
  <Words>5869</Words>
  <Characters>33457</Characters>
  <Application>Microsoft Office Word</Application>
  <DocSecurity>0</DocSecurity>
  <Lines>278</Lines>
  <Paragraphs>78</Paragraphs>
  <ScaleCrop>false</ScaleCrop>
  <Company>HP Inc.</Company>
  <LinksUpToDate>false</LinksUpToDate>
  <CharactersWithSpaces>39248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Макшаков Вадим Владимирович</cp:lastModifiedBy>
  <cp:revision>12</cp:revision>
  <dcterms:created xsi:type="dcterms:W3CDTF">2023-11-29T07:44:00Z</dcterms:created>
  <dcterms:modified xsi:type="dcterms:W3CDTF">2023-12-26T06:58:00Z</dcterms:modified>
</cp:coreProperties>
</file>